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BB47C5" w14:textId="77777777" w:rsidR="00723C4A" w:rsidRDefault="00723C4A" w:rsidP="00723C4A">
      <w:pPr>
        <w:jc w:val="center"/>
        <w:rPr>
          <w:b/>
          <w:sz w:val="32"/>
          <w:szCs w:val="32"/>
        </w:rPr>
      </w:pPr>
      <w:r w:rsidRPr="00FE3B05">
        <w:rPr>
          <w:b/>
          <w:sz w:val="32"/>
          <w:szCs w:val="32"/>
        </w:rPr>
        <w:t xml:space="preserve">Broadford and Strath Community Company </w:t>
      </w:r>
    </w:p>
    <w:p w14:paraId="53BD3B91" w14:textId="77777777" w:rsidR="00723C4A" w:rsidRPr="00FE3B05" w:rsidRDefault="00723C4A" w:rsidP="00723C4A">
      <w:pPr>
        <w:jc w:val="center"/>
        <w:rPr>
          <w:b/>
          <w:sz w:val="32"/>
          <w:szCs w:val="32"/>
        </w:rPr>
      </w:pPr>
      <w:r w:rsidRPr="00FE3B05">
        <w:rPr>
          <w:b/>
          <w:sz w:val="32"/>
          <w:szCs w:val="32"/>
        </w:rPr>
        <w:t>Terms of Reference</w:t>
      </w:r>
    </w:p>
    <w:p w14:paraId="1DA302D8" w14:textId="77777777" w:rsidR="00723C4A" w:rsidRPr="00723C4A" w:rsidRDefault="00723C4A" w:rsidP="00723C4A">
      <w:pPr>
        <w:jc w:val="center"/>
        <w:rPr>
          <w:b/>
          <w:i/>
          <w:sz w:val="28"/>
          <w:szCs w:val="28"/>
        </w:rPr>
      </w:pPr>
      <w:r w:rsidRPr="00723C4A">
        <w:rPr>
          <w:b/>
          <w:i/>
          <w:sz w:val="28"/>
          <w:szCs w:val="28"/>
        </w:rPr>
        <w:t>Skye Cycle Way Working Group</w:t>
      </w:r>
    </w:p>
    <w:p w14:paraId="11B0D1CB" w14:textId="77777777" w:rsidR="00723C4A" w:rsidRPr="00723C4A" w:rsidRDefault="00723C4A" w:rsidP="00723C4A">
      <w:pPr>
        <w:rPr>
          <w:b/>
          <w:sz w:val="26"/>
          <w:szCs w:val="26"/>
        </w:rPr>
      </w:pPr>
      <w:r w:rsidRPr="00723C4A">
        <w:rPr>
          <w:b/>
          <w:sz w:val="26"/>
          <w:szCs w:val="26"/>
        </w:rPr>
        <w:t>Membership:</w:t>
      </w:r>
    </w:p>
    <w:p w14:paraId="476D0A80" w14:textId="77777777" w:rsidR="00723C4A" w:rsidRPr="00723C4A" w:rsidRDefault="00723C4A" w:rsidP="00723C4A">
      <w:pPr>
        <w:pStyle w:val="ListParagraph"/>
        <w:numPr>
          <w:ilvl w:val="0"/>
          <w:numId w:val="43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Directors</w:t>
      </w:r>
    </w:p>
    <w:p w14:paraId="3D389B5B" w14:textId="77777777" w:rsidR="00723C4A" w:rsidRPr="00723C4A" w:rsidRDefault="00723C4A" w:rsidP="00723C4A">
      <w:pPr>
        <w:pStyle w:val="ListParagraph"/>
        <w:numPr>
          <w:ilvl w:val="0"/>
          <w:numId w:val="43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Members</w:t>
      </w:r>
    </w:p>
    <w:p w14:paraId="3FACB725" w14:textId="77777777" w:rsidR="00723C4A" w:rsidRPr="00723C4A" w:rsidRDefault="00723C4A" w:rsidP="00723C4A">
      <w:pPr>
        <w:pStyle w:val="ListParagraph"/>
        <w:numPr>
          <w:ilvl w:val="0"/>
          <w:numId w:val="43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Local people</w:t>
      </w:r>
      <w:bookmarkStart w:id="0" w:name="_GoBack"/>
      <w:bookmarkEnd w:id="0"/>
    </w:p>
    <w:p w14:paraId="5FFACC0C" w14:textId="77777777" w:rsidR="00723C4A" w:rsidRPr="00723C4A" w:rsidRDefault="00723C4A" w:rsidP="00723C4A">
      <w:pPr>
        <w:pStyle w:val="ListParagraph"/>
        <w:numPr>
          <w:ilvl w:val="0"/>
          <w:numId w:val="43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Local organisations</w:t>
      </w:r>
    </w:p>
    <w:p w14:paraId="3372DEBF" w14:textId="77777777" w:rsidR="00723C4A" w:rsidRPr="00723C4A" w:rsidRDefault="00723C4A" w:rsidP="00723C4A">
      <w:pPr>
        <w:pStyle w:val="ListParagraph"/>
        <w:numPr>
          <w:ilvl w:val="0"/>
          <w:numId w:val="43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Partner agencies</w:t>
      </w:r>
    </w:p>
    <w:p w14:paraId="58D81EED" w14:textId="77777777" w:rsidR="00723C4A" w:rsidRPr="00723C4A" w:rsidRDefault="00723C4A" w:rsidP="00723C4A">
      <w:pPr>
        <w:pStyle w:val="ListParagraph"/>
        <w:numPr>
          <w:ilvl w:val="0"/>
          <w:numId w:val="43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 xml:space="preserve">An individual with a passion and particular interest in the subject should take the lead role in a working group (and co-ordinate activity).  The Cycle Path working group should always have Broadford and Strath Community Company Director involvement. </w:t>
      </w:r>
    </w:p>
    <w:p w14:paraId="76274642" w14:textId="77777777" w:rsidR="00723C4A" w:rsidRPr="00723C4A" w:rsidRDefault="00723C4A" w:rsidP="00723C4A">
      <w:pPr>
        <w:rPr>
          <w:b/>
          <w:sz w:val="26"/>
          <w:szCs w:val="26"/>
        </w:rPr>
      </w:pPr>
      <w:r w:rsidRPr="00723C4A">
        <w:rPr>
          <w:b/>
          <w:sz w:val="26"/>
          <w:szCs w:val="26"/>
        </w:rPr>
        <w:t>Responsibilities:</w:t>
      </w:r>
    </w:p>
    <w:p w14:paraId="5BBF3BD9" w14:textId="77777777" w:rsidR="00723C4A" w:rsidRPr="00723C4A" w:rsidRDefault="00723C4A" w:rsidP="00723C4A">
      <w:pPr>
        <w:pStyle w:val="ListParagraph"/>
        <w:numPr>
          <w:ilvl w:val="0"/>
          <w:numId w:val="44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Develop project as agreed by the board of the Directors.</w:t>
      </w:r>
    </w:p>
    <w:p w14:paraId="5267E6FF" w14:textId="77777777" w:rsidR="00723C4A" w:rsidRPr="00723C4A" w:rsidRDefault="00723C4A" w:rsidP="00723C4A">
      <w:pPr>
        <w:pStyle w:val="ListParagraph"/>
        <w:numPr>
          <w:ilvl w:val="0"/>
          <w:numId w:val="44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 xml:space="preserve">Explore the feasibility of the Cycle Path project. </w:t>
      </w:r>
    </w:p>
    <w:p w14:paraId="7715A571" w14:textId="77777777" w:rsidR="00723C4A" w:rsidRPr="00723C4A" w:rsidRDefault="00723C4A" w:rsidP="00723C4A">
      <w:pPr>
        <w:pStyle w:val="ListParagraph"/>
        <w:numPr>
          <w:ilvl w:val="0"/>
          <w:numId w:val="44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Consult all stakeholders including the wider community.</w:t>
      </w:r>
    </w:p>
    <w:p w14:paraId="1478D3F8" w14:textId="77777777" w:rsidR="00723C4A" w:rsidRPr="00723C4A" w:rsidRDefault="00723C4A" w:rsidP="00723C4A">
      <w:pPr>
        <w:pStyle w:val="ListParagraph"/>
        <w:numPr>
          <w:ilvl w:val="0"/>
          <w:numId w:val="44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 xml:space="preserve">Identify and </w:t>
      </w:r>
      <w:proofErr w:type="spellStart"/>
      <w:r w:rsidRPr="00723C4A">
        <w:rPr>
          <w:rFonts w:ascii="Roboto Slab" w:hAnsi="Roboto Slab"/>
          <w:sz w:val="24"/>
          <w:szCs w:val="24"/>
        </w:rPr>
        <w:t>liase</w:t>
      </w:r>
      <w:proofErr w:type="spellEnd"/>
      <w:r w:rsidRPr="00723C4A">
        <w:rPr>
          <w:rFonts w:ascii="Roboto Slab" w:hAnsi="Roboto Slab"/>
          <w:sz w:val="24"/>
          <w:szCs w:val="24"/>
        </w:rPr>
        <w:t xml:space="preserve"> with partners.</w:t>
      </w:r>
    </w:p>
    <w:p w14:paraId="7A688491" w14:textId="77777777" w:rsidR="00723C4A" w:rsidRPr="003036CA" w:rsidRDefault="00723C4A" w:rsidP="00723C4A">
      <w:pPr>
        <w:pStyle w:val="ListParagraph"/>
        <w:numPr>
          <w:ilvl w:val="0"/>
          <w:numId w:val="44"/>
        </w:numPr>
      </w:pPr>
      <w:r w:rsidRPr="00723C4A">
        <w:rPr>
          <w:rFonts w:ascii="Roboto Slab" w:hAnsi="Roboto Slab"/>
          <w:sz w:val="24"/>
          <w:szCs w:val="24"/>
        </w:rPr>
        <w:t>Co-ordinate their work with other working groups</w:t>
      </w:r>
      <w:r>
        <w:t>.</w:t>
      </w:r>
    </w:p>
    <w:p w14:paraId="16B2A6B7" w14:textId="77777777" w:rsidR="00723C4A" w:rsidRPr="00723C4A" w:rsidRDefault="00723C4A" w:rsidP="00723C4A">
      <w:pPr>
        <w:rPr>
          <w:b/>
          <w:sz w:val="26"/>
          <w:szCs w:val="26"/>
        </w:rPr>
      </w:pPr>
      <w:r w:rsidRPr="00723C4A">
        <w:rPr>
          <w:b/>
          <w:sz w:val="26"/>
          <w:szCs w:val="26"/>
        </w:rPr>
        <w:t>Reporting Procedure:</w:t>
      </w:r>
    </w:p>
    <w:p w14:paraId="5EB26DA8" w14:textId="77777777" w:rsidR="00723C4A" w:rsidRPr="00723C4A" w:rsidRDefault="00723C4A" w:rsidP="00723C4A">
      <w:pPr>
        <w:pStyle w:val="ListParagraph"/>
        <w:numPr>
          <w:ilvl w:val="0"/>
          <w:numId w:val="45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Report directly to the full board of Directors</w:t>
      </w:r>
    </w:p>
    <w:p w14:paraId="7E25A231" w14:textId="77777777" w:rsidR="00723C4A" w:rsidRPr="00723C4A" w:rsidRDefault="00723C4A" w:rsidP="00723C4A">
      <w:pPr>
        <w:pStyle w:val="ListParagraph"/>
        <w:numPr>
          <w:ilvl w:val="0"/>
          <w:numId w:val="45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Report to each Broadford and Strath Community Company monthly meeting (written if not in person)</w:t>
      </w:r>
    </w:p>
    <w:p w14:paraId="04CC1BAE" w14:textId="77777777" w:rsidR="00723C4A" w:rsidRPr="00723C4A" w:rsidRDefault="00723C4A" w:rsidP="00723C4A">
      <w:pPr>
        <w:pStyle w:val="ListParagraph"/>
        <w:numPr>
          <w:ilvl w:val="0"/>
          <w:numId w:val="45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 xml:space="preserve">Send minutes to all Broadford and Strath Community Company Directors after each meeting. </w:t>
      </w:r>
    </w:p>
    <w:p w14:paraId="254E88A7" w14:textId="77777777" w:rsidR="00723C4A" w:rsidRPr="00723C4A" w:rsidRDefault="00723C4A" w:rsidP="00723C4A">
      <w:pPr>
        <w:pStyle w:val="ListParagraph"/>
        <w:numPr>
          <w:ilvl w:val="0"/>
          <w:numId w:val="45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Will seek Broadford and Strath Community Company board approval for all expenditure unless authorised by the Chair and Treasure for urgent matters.</w:t>
      </w:r>
    </w:p>
    <w:p w14:paraId="50DD291D" w14:textId="77777777" w:rsidR="00723C4A" w:rsidRPr="00723C4A" w:rsidRDefault="00723C4A" w:rsidP="00723C4A">
      <w:pPr>
        <w:pStyle w:val="ListParagraph"/>
        <w:numPr>
          <w:ilvl w:val="0"/>
          <w:numId w:val="45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>Will bring any confidential matter to the attention of the board of Directors to be dealt with by the board.</w:t>
      </w:r>
    </w:p>
    <w:p w14:paraId="4F7F0B16" w14:textId="77777777" w:rsidR="00723C4A" w:rsidRPr="00723C4A" w:rsidRDefault="00723C4A" w:rsidP="00723C4A">
      <w:pPr>
        <w:pStyle w:val="ListParagraph"/>
        <w:numPr>
          <w:ilvl w:val="0"/>
          <w:numId w:val="45"/>
        </w:numPr>
        <w:rPr>
          <w:rFonts w:ascii="Roboto Slab" w:hAnsi="Roboto Slab"/>
          <w:sz w:val="24"/>
          <w:szCs w:val="24"/>
        </w:rPr>
      </w:pPr>
      <w:r w:rsidRPr="00723C4A">
        <w:rPr>
          <w:rFonts w:ascii="Roboto Slab" w:hAnsi="Roboto Slab"/>
          <w:sz w:val="24"/>
          <w:szCs w:val="24"/>
        </w:rPr>
        <w:t xml:space="preserve">Funding applications must be reported to the full board of Directors before submission unless authorised by the Chair / Treasurer for urgent matters. </w:t>
      </w:r>
    </w:p>
    <w:p w14:paraId="57D924C1" w14:textId="77777777" w:rsidR="00723C4A" w:rsidRPr="00723C4A" w:rsidRDefault="00723C4A" w:rsidP="00723C4A">
      <w:pPr>
        <w:rPr>
          <w:sz w:val="24"/>
          <w:szCs w:val="24"/>
        </w:rPr>
      </w:pPr>
    </w:p>
    <w:p w14:paraId="4063F12E" w14:textId="77777777" w:rsidR="00723C4A" w:rsidRPr="003036CA" w:rsidRDefault="00723C4A" w:rsidP="00723C4A"/>
    <w:p w14:paraId="2D6EA777" w14:textId="1EECA763" w:rsidR="00B15D65" w:rsidRPr="0069687F" w:rsidRDefault="0069687F" w:rsidP="0069687F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69687F">
        <w:rPr>
          <w:rFonts w:ascii="Roboto Slab" w:eastAsia="Times New Roman" w:hAnsi="Roboto Slab" w:cstheme="minorHAnsi"/>
          <w:bCs/>
          <w:sz w:val="24"/>
          <w:szCs w:val="24"/>
        </w:rPr>
        <w:t xml:space="preserve"> </w:t>
      </w:r>
    </w:p>
    <w:sectPr w:rsidR="00B15D65" w:rsidRPr="0069687F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93AE" w14:textId="77777777" w:rsidR="00973C9A" w:rsidRDefault="00973C9A">
      <w:pPr>
        <w:spacing w:line="240" w:lineRule="auto"/>
      </w:pPr>
      <w:r>
        <w:separator/>
      </w:r>
    </w:p>
  </w:endnote>
  <w:endnote w:type="continuationSeparator" w:id="0">
    <w:p w14:paraId="712C0114" w14:textId="77777777" w:rsidR="00973C9A" w:rsidRDefault="00973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00AE" w14:textId="77777777" w:rsidR="00B15D65" w:rsidRDefault="00B15D65"/>
  <w:tbl>
    <w:tblPr>
      <w:tblStyle w:val="a1"/>
      <w:tblW w:w="107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1"/>
      <w:gridCol w:w="3615"/>
      <w:gridCol w:w="585"/>
      <w:gridCol w:w="4665"/>
      <w:gridCol w:w="682"/>
      <w:gridCol w:w="682"/>
    </w:tblGrid>
    <w:tr w:rsidR="00B15D65" w14:paraId="746D115F" w14:textId="77777777">
      <w:tc>
        <w:tcPr>
          <w:tcW w:w="540" w:type="dxa"/>
          <w:tcBorders>
            <w:top w:val="single" w:sz="12" w:space="0" w:color="13563E"/>
            <w:left w:val="single" w:sz="12" w:space="0" w:color="13563E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38B527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1B9B1C5" wp14:editId="07777777">
                <wp:extent cx="208643" cy="190500"/>
                <wp:effectExtent l="0" t="0" r="0" b="0"/>
                <wp:docPr id="3" name="image7.png" descr="lin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link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D0463F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www.broadfordandstrath.org</w:t>
          </w:r>
        </w:p>
      </w:tc>
      <w:tc>
        <w:tcPr>
          <w:tcW w:w="58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216641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8F8E329" wp14:editId="07777777">
                <wp:extent cx="216013" cy="190500"/>
                <wp:effectExtent l="0" t="0" r="0" b="0"/>
                <wp:docPr id="2" name="image6.png" descr="ma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ai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1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F1F6A0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mail@broadfordandstrath.org</w:t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314BE32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23BCE2F5" wp14:editId="07777777">
                <wp:extent cx="217418" cy="190500"/>
                <wp:effectExtent l="0" t="0" r="0" b="0"/>
                <wp:docPr id="6" name="image12.png" descr="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 descr="facebook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single" w:sz="12" w:space="0" w:color="13563E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DE36A4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06A36F79" wp14:editId="07777777">
                <wp:extent cx="217418" cy="190500"/>
                <wp:effectExtent l="0" t="0" r="0" b="0"/>
                <wp:docPr id="1" name="image3.png" descr="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0B9DE2" w14:textId="77777777" w:rsidR="00B15D65" w:rsidRDefault="00B15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57F4" w14:textId="77777777" w:rsidR="00973C9A" w:rsidRDefault="00973C9A">
      <w:pPr>
        <w:spacing w:line="240" w:lineRule="auto"/>
      </w:pPr>
      <w:r>
        <w:separator/>
      </w:r>
    </w:p>
  </w:footnote>
  <w:footnote w:type="continuationSeparator" w:id="0">
    <w:p w14:paraId="102ECCE8" w14:textId="77777777" w:rsidR="00973C9A" w:rsidRDefault="00973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E057" w14:textId="77777777" w:rsidR="00B15D65" w:rsidRDefault="00B15D65"/>
  <w:tbl>
    <w:tblPr>
      <w:tblStyle w:val="a0"/>
      <w:tblW w:w="11085" w:type="dxa"/>
      <w:tblInd w:w="-165" w:type="dxa"/>
      <w:tblLayout w:type="fixed"/>
      <w:tblLook w:val="0600" w:firstRow="0" w:lastRow="0" w:firstColumn="0" w:lastColumn="0" w:noHBand="1" w:noVBand="1"/>
    </w:tblPr>
    <w:tblGrid>
      <w:gridCol w:w="2865"/>
      <w:gridCol w:w="8220"/>
    </w:tblGrid>
    <w:tr w:rsidR="00B15D65" w14:paraId="0D060BFE" w14:textId="77777777">
      <w:tc>
        <w:tcPr>
          <w:tcW w:w="2865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</w:tcPr>
        <w:p w14:paraId="323D6994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6B9CB709" wp14:editId="07777777">
                <wp:extent cx="1464038" cy="581371"/>
                <wp:effectExtent l="0" t="0" r="0" b="0"/>
                <wp:docPr id="4" name="image9.png" descr="Artboard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Artboard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38" cy="58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  <w:vAlign w:val="bottom"/>
        </w:tcPr>
        <w:p w14:paraId="0CE67F4F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 xml:space="preserve">CREATING A STRONG, SELF-SUFFICIENT, INCLUSIVE </w:t>
          </w:r>
        </w:p>
        <w:p w14:paraId="13A58E80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AND ECO-FRIENDLY COMMUNITY</w:t>
          </w:r>
        </w:p>
      </w:tc>
    </w:tr>
  </w:tbl>
  <w:p w14:paraId="5B25DAB0" w14:textId="77777777" w:rsidR="00B15D65" w:rsidRDefault="00B15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3DA"/>
    <w:multiLevelType w:val="hybridMultilevel"/>
    <w:tmpl w:val="F69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D37"/>
    <w:multiLevelType w:val="hybridMultilevel"/>
    <w:tmpl w:val="F91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3E"/>
    <w:multiLevelType w:val="hybridMultilevel"/>
    <w:tmpl w:val="8B3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870"/>
    <w:multiLevelType w:val="hybridMultilevel"/>
    <w:tmpl w:val="740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222"/>
    <w:multiLevelType w:val="hybridMultilevel"/>
    <w:tmpl w:val="49E4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2DF"/>
    <w:multiLevelType w:val="hybridMultilevel"/>
    <w:tmpl w:val="0048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04510"/>
    <w:multiLevelType w:val="hybridMultilevel"/>
    <w:tmpl w:val="7A78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4725"/>
    <w:multiLevelType w:val="hybridMultilevel"/>
    <w:tmpl w:val="1CF4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7AF4"/>
    <w:multiLevelType w:val="hybridMultilevel"/>
    <w:tmpl w:val="50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52B2"/>
    <w:multiLevelType w:val="hybridMultilevel"/>
    <w:tmpl w:val="7C3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2642"/>
    <w:multiLevelType w:val="hybridMultilevel"/>
    <w:tmpl w:val="F2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5D1C"/>
    <w:multiLevelType w:val="hybridMultilevel"/>
    <w:tmpl w:val="A696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D4DD1"/>
    <w:multiLevelType w:val="multilevel"/>
    <w:tmpl w:val="451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C7F2B"/>
    <w:multiLevelType w:val="hybridMultilevel"/>
    <w:tmpl w:val="D68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1F63"/>
    <w:multiLevelType w:val="hybridMultilevel"/>
    <w:tmpl w:val="8B7EE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80436"/>
    <w:multiLevelType w:val="hybridMultilevel"/>
    <w:tmpl w:val="42AE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444D"/>
    <w:multiLevelType w:val="hybridMultilevel"/>
    <w:tmpl w:val="0D642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62C1E"/>
    <w:multiLevelType w:val="hybridMultilevel"/>
    <w:tmpl w:val="8EF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F6880"/>
    <w:multiLevelType w:val="hybridMultilevel"/>
    <w:tmpl w:val="68EE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45F4"/>
    <w:multiLevelType w:val="hybridMultilevel"/>
    <w:tmpl w:val="E6108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68DB"/>
    <w:multiLevelType w:val="hybridMultilevel"/>
    <w:tmpl w:val="B412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6B9D"/>
    <w:multiLevelType w:val="hybridMultilevel"/>
    <w:tmpl w:val="7FC65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B06AC"/>
    <w:multiLevelType w:val="hybridMultilevel"/>
    <w:tmpl w:val="55E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70673"/>
    <w:multiLevelType w:val="hybridMultilevel"/>
    <w:tmpl w:val="59D6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610E8"/>
    <w:multiLevelType w:val="hybridMultilevel"/>
    <w:tmpl w:val="AD6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13803"/>
    <w:multiLevelType w:val="hybridMultilevel"/>
    <w:tmpl w:val="7372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40A0C"/>
    <w:multiLevelType w:val="hybridMultilevel"/>
    <w:tmpl w:val="EDE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B021E"/>
    <w:multiLevelType w:val="hybridMultilevel"/>
    <w:tmpl w:val="BFD6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97EFF"/>
    <w:multiLevelType w:val="hybridMultilevel"/>
    <w:tmpl w:val="B4B2C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705D87"/>
    <w:multiLevelType w:val="hybridMultilevel"/>
    <w:tmpl w:val="C38A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552B0"/>
    <w:multiLevelType w:val="hybridMultilevel"/>
    <w:tmpl w:val="EAD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341C"/>
    <w:multiLevelType w:val="hybridMultilevel"/>
    <w:tmpl w:val="8AA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11621"/>
    <w:multiLevelType w:val="hybridMultilevel"/>
    <w:tmpl w:val="3FA8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051C"/>
    <w:multiLevelType w:val="hybridMultilevel"/>
    <w:tmpl w:val="82E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A3E44"/>
    <w:multiLevelType w:val="hybridMultilevel"/>
    <w:tmpl w:val="03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29D0"/>
    <w:multiLevelType w:val="hybridMultilevel"/>
    <w:tmpl w:val="87EC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9304B"/>
    <w:multiLevelType w:val="hybridMultilevel"/>
    <w:tmpl w:val="EC54E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E507A"/>
    <w:multiLevelType w:val="multilevel"/>
    <w:tmpl w:val="3C7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70DA4"/>
    <w:multiLevelType w:val="hybridMultilevel"/>
    <w:tmpl w:val="EB1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373"/>
    <w:multiLevelType w:val="hybridMultilevel"/>
    <w:tmpl w:val="AAF88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404E27"/>
    <w:multiLevelType w:val="hybridMultilevel"/>
    <w:tmpl w:val="0B3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2E10"/>
    <w:multiLevelType w:val="hybridMultilevel"/>
    <w:tmpl w:val="1794F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BE25F8"/>
    <w:multiLevelType w:val="multilevel"/>
    <w:tmpl w:val="C19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7D41E4"/>
    <w:multiLevelType w:val="hybridMultilevel"/>
    <w:tmpl w:val="39C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8A24B9"/>
    <w:multiLevelType w:val="hybridMultilevel"/>
    <w:tmpl w:val="0E58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9"/>
  </w:num>
  <w:num w:numId="4">
    <w:abstractNumId w:val="31"/>
  </w:num>
  <w:num w:numId="5">
    <w:abstractNumId w:val="22"/>
  </w:num>
  <w:num w:numId="6">
    <w:abstractNumId w:val="0"/>
  </w:num>
  <w:num w:numId="7">
    <w:abstractNumId w:val="2"/>
  </w:num>
  <w:num w:numId="8">
    <w:abstractNumId w:val="10"/>
  </w:num>
  <w:num w:numId="9">
    <w:abstractNumId w:val="38"/>
  </w:num>
  <w:num w:numId="10">
    <w:abstractNumId w:val="13"/>
  </w:num>
  <w:num w:numId="11">
    <w:abstractNumId w:val="7"/>
  </w:num>
  <w:num w:numId="12">
    <w:abstractNumId w:val="29"/>
  </w:num>
  <w:num w:numId="13">
    <w:abstractNumId w:val="30"/>
  </w:num>
  <w:num w:numId="14">
    <w:abstractNumId w:val="4"/>
  </w:num>
  <w:num w:numId="15">
    <w:abstractNumId w:val="32"/>
  </w:num>
  <w:num w:numId="16">
    <w:abstractNumId w:val="43"/>
  </w:num>
  <w:num w:numId="17">
    <w:abstractNumId w:val="1"/>
  </w:num>
  <w:num w:numId="18">
    <w:abstractNumId w:val="35"/>
  </w:num>
  <w:num w:numId="19">
    <w:abstractNumId w:val="3"/>
  </w:num>
  <w:num w:numId="20">
    <w:abstractNumId w:val="17"/>
  </w:num>
  <w:num w:numId="21">
    <w:abstractNumId w:val="25"/>
  </w:num>
  <w:num w:numId="22">
    <w:abstractNumId w:val="24"/>
  </w:num>
  <w:num w:numId="23">
    <w:abstractNumId w:val="8"/>
  </w:num>
  <w:num w:numId="24">
    <w:abstractNumId w:val="26"/>
  </w:num>
  <w:num w:numId="25">
    <w:abstractNumId w:val="14"/>
  </w:num>
  <w:num w:numId="26">
    <w:abstractNumId w:val="34"/>
  </w:num>
  <w:num w:numId="27">
    <w:abstractNumId w:val="28"/>
  </w:num>
  <w:num w:numId="28">
    <w:abstractNumId w:val="11"/>
  </w:num>
  <w:num w:numId="29">
    <w:abstractNumId w:val="20"/>
  </w:num>
  <w:num w:numId="30">
    <w:abstractNumId w:val="36"/>
  </w:num>
  <w:num w:numId="31">
    <w:abstractNumId w:val="41"/>
  </w:num>
  <w:num w:numId="32">
    <w:abstractNumId w:val="15"/>
  </w:num>
  <w:num w:numId="33">
    <w:abstractNumId w:val="39"/>
  </w:num>
  <w:num w:numId="34">
    <w:abstractNumId w:val="18"/>
  </w:num>
  <w:num w:numId="35">
    <w:abstractNumId w:val="42"/>
  </w:num>
  <w:num w:numId="36">
    <w:abstractNumId w:val="12"/>
  </w:num>
  <w:num w:numId="37">
    <w:abstractNumId w:val="37"/>
  </w:num>
  <w:num w:numId="38">
    <w:abstractNumId w:val="5"/>
  </w:num>
  <w:num w:numId="39">
    <w:abstractNumId w:val="16"/>
  </w:num>
  <w:num w:numId="40">
    <w:abstractNumId w:val="19"/>
  </w:num>
  <w:num w:numId="41">
    <w:abstractNumId w:val="33"/>
  </w:num>
  <w:num w:numId="42">
    <w:abstractNumId w:val="21"/>
  </w:num>
  <w:num w:numId="43">
    <w:abstractNumId w:val="23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5"/>
    <w:rsid w:val="00027997"/>
    <w:rsid w:val="000672C0"/>
    <w:rsid w:val="000970F1"/>
    <w:rsid w:val="00134CD8"/>
    <w:rsid w:val="001771DE"/>
    <w:rsid w:val="001A1FB6"/>
    <w:rsid w:val="00204525"/>
    <w:rsid w:val="00211393"/>
    <w:rsid w:val="002E1999"/>
    <w:rsid w:val="002E5317"/>
    <w:rsid w:val="00322795"/>
    <w:rsid w:val="0033124C"/>
    <w:rsid w:val="0037123D"/>
    <w:rsid w:val="00374648"/>
    <w:rsid w:val="00381300"/>
    <w:rsid w:val="00384471"/>
    <w:rsid w:val="003936A4"/>
    <w:rsid w:val="00397734"/>
    <w:rsid w:val="003B3146"/>
    <w:rsid w:val="003D13FF"/>
    <w:rsid w:val="003E73AC"/>
    <w:rsid w:val="004600B5"/>
    <w:rsid w:val="0049640F"/>
    <w:rsid w:val="004B6B16"/>
    <w:rsid w:val="004D0A29"/>
    <w:rsid w:val="004D2D5D"/>
    <w:rsid w:val="00524A93"/>
    <w:rsid w:val="00530B90"/>
    <w:rsid w:val="00560F2E"/>
    <w:rsid w:val="00577DB5"/>
    <w:rsid w:val="006539B8"/>
    <w:rsid w:val="006719C5"/>
    <w:rsid w:val="006818BF"/>
    <w:rsid w:val="0069687F"/>
    <w:rsid w:val="006B68BE"/>
    <w:rsid w:val="00723C4A"/>
    <w:rsid w:val="00766356"/>
    <w:rsid w:val="007B66A3"/>
    <w:rsid w:val="007C707F"/>
    <w:rsid w:val="007F60CB"/>
    <w:rsid w:val="0082182D"/>
    <w:rsid w:val="00884086"/>
    <w:rsid w:val="008C723A"/>
    <w:rsid w:val="00962D8B"/>
    <w:rsid w:val="00973C9A"/>
    <w:rsid w:val="009A170A"/>
    <w:rsid w:val="009D7AAB"/>
    <w:rsid w:val="009E235B"/>
    <w:rsid w:val="009E7DE5"/>
    <w:rsid w:val="009F722E"/>
    <w:rsid w:val="00A015AE"/>
    <w:rsid w:val="00A145B3"/>
    <w:rsid w:val="00A50462"/>
    <w:rsid w:val="00A52874"/>
    <w:rsid w:val="00A97D1C"/>
    <w:rsid w:val="00AF09A7"/>
    <w:rsid w:val="00B15D65"/>
    <w:rsid w:val="00B34CAF"/>
    <w:rsid w:val="00B40D8C"/>
    <w:rsid w:val="00B6307D"/>
    <w:rsid w:val="00BD44AD"/>
    <w:rsid w:val="00C11351"/>
    <w:rsid w:val="00C37B43"/>
    <w:rsid w:val="00C904E3"/>
    <w:rsid w:val="00CD46B9"/>
    <w:rsid w:val="00D04EE7"/>
    <w:rsid w:val="00D87189"/>
    <w:rsid w:val="00E0262E"/>
    <w:rsid w:val="00E76B7E"/>
    <w:rsid w:val="00EA5EC3"/>
    <w:rsid w:val="00EF2FB4"/>
    <w:rsid w:val="00F04434"/>
    <w:rsid w:val="00F37DE0"/>
    <w:rsid w:val="00F64C91"/>
    <w:rsid w:val="00F72BD8"/>
    <w:rsid w:val="00FF2549"/>
    <w:rsid w:val="00FF2584"/>
    <w:rsid w:val="1D0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7B9C"/>
  <w15:docId w15:val="{04900A5E-2BDF-4208-9E07-7352D42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="Roboto Slab" w:hAnsi="Roboto Slab" w:cs="Roboto Slab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efaultParagraphFont"/>
    <w:rsid w:val="00FF2584"/>
  </w:style>
  <w:style w:type="character" w:customStyle="1" w:styleId="apple-converted-space">
    <w:name w:val="apple-converted-space"/>
    <w:basedOn w:val="DefaultParagraphFont"/>
    <w:rsid w:val="00FF2584"/>
  </w:style>
  <w:style w:type="paragraph" w:customStyle="1" w:styleId="paragraph">
    <w:name w:val="paragraph"/>
    <w:basedOn w:val="Normal"/>
    <w:rsid w:val="003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381300"/>
    <w:rPr>
      <w:rFonts w:cs="Times New Roman"/>
    </w:rPr>
  </w:style>
  <w:style w:type="character" w:customStyle="1" w:styleId="spellingerror">
    <w:name w:val="spellingerror"/>
    <w:basedOn w:val="DefaultParagraphFont"/>
    <w:rsid w:val="00381300"/>
    <w:rPr>
      <w:rFonts w:cs="Times New Roman"/>
    </w:rPr>
  </w:style>
  <w:style w:type="paragraph" w:customStyle="1" w:styleId="Default">
    <w:name w:val="Default"/>
    <w:rsid w:val="0039773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773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0CB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6B98-14E2-4684-8804-E50673F7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cp:lastPrinted>2017-07-06T20:53:00Z</cp:lastPrinted>
  <dcterms:created xsi:type="dcterms:W3CDTF">2018-03-23T09:44:00Z</dcterms:created>
  <dcterms:modified xsi:type="dcterms:W3CDTF">2018-03-23T09:44:00Z</dcterms:modified>
</cp:coreProperties>
</file>